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09"/>
        <w:gridCol w:w="1894"/>
        <w:gridCol w:w="4524"/>
      </w:tblGrid>
      <w:tr w:rsidR="00654706" w:rsidTr="00017E2C">
        <w:tc>
          <w:tcPr>
            <w:tcW w:w="3209" w:type="dxa"/>
            <w:vAlign w:val="center"/>
          </w:tcPr>
          <w:p w:rsidR="00654706" w:rsidRDefault="00654706" w:rsidP="00017E2C">
            <w:pPr>
              <w:spacing w:after="0" w:line="265" w:lineRule="auto"/>
              <w:ind w:left="0" w:right="-18" w:firstLine="0"/>
              <w:jc w:val="center"/>
              <w:rPr>
                <w:b/>
              </w:rPr>
            </w:pPr>
            <w:r>
              <w:rPr>
                <w:rFonts w:asciiTheme="majorHAnsi" w:hAnsiTheme="majorHAnsi" w:cstheme="majorBidi"/>
                <w:noProof/>
                <w:sz w:val="28"/>
                <w:szCs w:val="28"/>
              </w:rPr>
              <w:drawing>
                <wp:inline distT="0" distB="0" distL="0" distR="0">
                  <wp:extent cx="861695" cy="1019355"/>
                  <wp:effectExtent l="0" t="0" r="0" b="9525"/>
                  <wp:docPr id="10" name="Image 10" descr="D:\Enseignement\2015\infos\Logo Iset Si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seignement\2015\infos\Logo Iset Siliana.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0874" cy="1030214"/>
                          </a:xfrm>
                          <a:prstGeom prst="rect">
                            <a:avLst/>
                          </a:prstGeom>
                          <a:noFill/>
                          <a:ln>
                            <a:noFill/>
                          </a:ln>
                        </pic:spPr>
                      </pic:pic>
                    </a:graphicData>
                  </a:graphic>
                </wp:inline>
              </w:drawing>
            </w:r>
          </w:p>
        </w:tc>
        <w:tc>
          <w:tcPr>
            <w:tcW w:w="1894" w:type="dxa"/>
            <w:vAlign w:val="center"/>
          </w:tcPr>
          <w:p w:rsidR="00654706" w:rsidRDefault="00654706" w:rsidP="00017E2C">
            <w:pPr>
              <w:spacing w:after="0" w:line="265" w:lineRule="auto"/>
              <w:ind w:left="0" w:right="-108" w:firstLine="0"/>
              <w:jc w:val="center"/>
              <w:rPr>
                <w:b/>
              </w:rPr>
            </w:pPr>
            <w:r>
              <w:rPr>
                <w:noProof/>
              </w:rPr>
              <w:drawing>
                <wp:inline distT="0" distB="0" distL="0" distR="0">
                  <wp:extent cx="981075" cy="1182370"/>
                  <wp:effectExtent l="0" t="0" r="9525"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74" r="23271"/>
                          <a:stretch/>
                        </pic:blipFill>
                        <pic:spPr bwMode="auto">
                          <a:xfrm>
                            <a:off x="0" y="0"/>
                            <a:ext cx="981075" cy="11823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524" w:type="dxa"/>
            <w:vAlign w:val="center"/>
          </w:tcPr>
          <w:p w:rsidR="00654706" w:rsidRDefault="00654706" w:rsidP="00017E2C">
            <w:pPr>
              <w:spacing w:after="0" w:line="265" w:lineRule="auto"/>
              <w:ind w:left="-1871" w:right="-2324"/>
              <w:jc w:val="center"/>
              <w:rPr>
                <w:b/>
              </w:rPr>
            </w:pPr>
          </w:p>
          <w:p w:rsidR="00654706" w:rsidRDefault="00654706" w:rsidP="00017E2C">
            <w:pPr>
              <w:spacing w:after="0" w:line="265" w:lineRule="auto"/>
              <w:ind w:left="-1871" w:right="-2324"/>
              <w:jc w:val="center"/>
            </w:pPr>
            <w:r>
              <w:rPr>
                <w:b/>
              </w:rPr>
              <w:t>REPUBLIQUE TUNISIENNE</w:t>
            </w:r>
          </w:p>
          <w:p w:rsidR="00654706" w:rsidRDefault="00654706" w:rsidP="00017E2C">
            <w:pPr>
              <w:spacing w:after="0" w:line="265" w:lineRule="auto"/>
              <w:ind w:left="-1871" w:right="-2323"/>
              <w:jc w:val="center"/>
            </w:pPr>
            <w:r>
              <w:rPr>
                <w:b/>
              </w:rPr>
              <w:t>MINISTERE DE L’ENSEIGNEMENT SUPERIEUR</w:t>
            </w:r>
          </w:p>
          <w:p w:rsidR="00654706" w:rsidRDefault="00654706" w:rsidP="00017E2C">
            <w:pPr>
              <w:spacing w:after="0" w:line="265" w:lineRule="auto"/>
              <w:ind w:left="-1871" w:right="-2325"/>
              <w:jc w:val="center"/>
            </w:pPr>
            <w:r>
              <w:rPr>
                <w:b/>
              </w:rPr>
              <w:t>ET DE LA RECHERCHE SCIENTIFIQUE</w:t>
            </w:r>
          </w:p>
          <w:p w:rsidR="00654706" w:rsidRDefault="00777222" w:rsidP="002C2231">
            <w:pPr>
              <w:spacing w:after="245" w:line="265" w:lineRule="auto"/>
              <w:ind w:left="-1871" w:right="-2381"/>
              <w:jc w:val="center"/>
            </w:pPr>
            <w:r>
              <w:rPr>
                <w:b/>
              </w:rPr>
              <w:t xml:space="preserve">Projet </w:t>
            </w:r>
            <w:r w:rsidRPr="00777222">
              <w:rPr>
                <w:b/>
              </w:rPr>
              <w:t>PROMESSE</w:t>
            </w:r>
            <w:r>
              <w:rPr>
                <w:b/>
              </w:rPr>
              <w:t xml:space="preserve"> - </w:t>
            </w:r>
            <w:r w:rsidR="00654706">
              <w:rPr>
                <w:b/>
              </w:rPr>
              <w:t>PAQ 4C 201</w:t>
            </w:r>
            <w:r w:rsidR="00B561B3">
              <w:rPr>
                <w:b/>
              </w:rPr>
              <w:t>9</w:t>
            </w:r>
          </w:p>
          <w:p w:rsidR="00654706" w:rsidRDefault="00654706" w:rsidP="00017E2C">
            <w:pPr>
              <w:spacing w:after="0" w:line="265" w:lineRule="auto"/>
              <w:ind w:left="0" w:right="-2324" w:firstLine="0"/>
              <w:jc w:val="center"/>
              <w:rPr>
                <w:b/>
              </w:rPr>
            </w:pPr>
          </w:p>
        </w:tc>
      </w:tr>
    </w:tbl>
    <w:p w:rsidR="00654706" w:rsidRDefault="00654706" w:rsidP="00654706">
      <w:pPr>
        <w:spacing w:before="120" w:after="0"/>
        <w:ind w:left="72" w:right="0" w:firstLine="0"/>
        <w:jc w:val="left"/>
        <w:rPr>
          <w:b/>
        </w:rPr>
      </w:pPr>
    </w:p>
    <w:p w:rsidR="00654706" w:rsidRDefault="001671A5" w:rsidP="001671A5">
      <w:pPr>
        <w:spacing w:before="120" w:after="0"/>
        <w:ind w:left="72" w:right="0" w:firstLine="0"/>
        <w:jc w:val="center"/>
        <w:rPr>
          <w:b/>
        </w:rPr>
      </w:pPr>
      <w:r>
        <w:rPr>
          <w:b/>
        </w:rPr>
        <w:t>TERMES DE RÉFÉRENCE POUR</w:t>
      </w:r>
      <w:r w:rsidR="00654706" w:rsidRPr="00654706">
        <w:rPr>
          <w:b/>
        </w:rPr>
        <w:t xml:space="preserve"> L’ACQUISITION</w:t>
      </w:r>
      <w:r w:rsidR="000556DF">
        <w:rPr>
          <w:b/>
        </w:rPr>
        <w:t xml:space="preserve"> </w:t>
      </w:r>
      <w:r w:rsidR="00654706" w:rsidRPr="00654706">
        <w:rPr>
          <w:b/>
        </w:rPr>
        <w:t>DE</w:t>
      </w:r>
      <w:r w:rsidR="00657E31">
        <w:rPr>
          <w:b/>
        </w:rPr>
        <w:t>S</w:t>
      </w:r>
      <w:r w:rsidR="00654706" w:rsidRPr="00654706">
        <w:rPr>
          <w:b/>
        </w:rPr>
        <w:t xml:space="preserve"> VOUCHERS D’EXAMEN</w:t>
      </w:r>
      <w:r w:rsidR="00657E31">
        <w:rPr>
          <w:b/>
        </w:rPr>
        <w:t>S</w:t>
      </w:r>
      <w:r w:rsidR="00231DE1">
        <w:rPr>
          <w:b/>
        </w:rPr>
        <w:t>AUTODESK</w:t>
      </w:r>
    </w:p>
    <w:p w:rsidR="00654706" w:rsidRDefault="00654706" w:rsidP="00654706">
      <w:pPr>
        <w:spacing w:before="120" w:after="0"/>
        <w:ind w:left="72" w:right="0" w:firstLine="0"/>
        <w:jc w:val="center"/>
      </w:pPr>
    </w:p>
    <w:p w:rsidR="00F15DD7" w:rsidRDefault="00777222">
      <w:pPr>
        <w:pStyle w:val="Titre1"/>
        <w:ind w:left="-5"/>
      </w:pPr>
      <w:r>
        <w:t>1. CONTEXTE</w:t>
      </w:r>
    </w:p>
    <w:p w:rsidR="00654706" w:rsidRDefault="00654706" w:rsidP="00654706">
      <w:pPr>
        <w:spacing w:after="348"/>
        <w:ind w:left="-5" w:right="0"/>
      </w:pPr>
      <w:r>
        <w:t xml:space="preserve">Dans le cadre du Modernisation de l’Enseignement Supérieur en soutien à l’Employabilité (PROMESSE) financé en partie par l’accord de </w:t>
      </w:r>
      <w:r w:rsidRPr="00BD1DE8">
        <w:t>prêt n° 8590-TN entre</w:t>
      </w:r>
      <w:r>
        <w:t xml:space="preserve"> la Banque Internationale pour la Reconstruction et le Développement (BIRD) et le Ministère de l’Enseignement Supérieur et de la Recherche Scientifique (MESRS), </w:t>
      </w:r>
      <w:r w:rsidRPr="002F4A25">
        <w:t>Institut Supérieur des Etudes Technologiques de Siliana</w:t>
      </w:r>
      <w:r>
        <w:t xml:space="preserve"> a bénéficié d’un projet PAQ-4C</w:t>
      </w:r>
    </w:p>
    <w:p w:rsidR="00F15DD7" w:rsidRDefault="00777222" w:rsidP="008F70F4">
      <w:pPr>
        <w:spacing w:after="317"/>
        <w:ind w:left="-5" w:right="0"/>
      </w:pPr>
      <w:r>
        <w:t xml:space="preserve">Dans ce cadre, </w:t>
      </w:r>
      <w:r w:rsidR="00654706">
        <w:t>l’</w:t>
      </w:r>
      <w:r w:rsidR="00654706" w:rsidRPr="00654706">
        <w:t>Institut Supérieur des Etudes Technologiques de Siliana</w:t>
      </w:r>
      <w:r w:rsidR="00642C1E">
        <w:t xml:space="preserve"> </w:t>
      </w:r>
      <w:r>
        <w:t xml:space="preserve">invite, par la présente demande, les </w:t>
      </w:r>
      <w:r w:rsidR="008F70F4">
        <w:t>entreprises</w:t>
      </w:r>
      <w:r>
        <w:t xml:space="preserve"> intéressés à manifester leur intérêt pour assurer les objectifs décrits dans le paragraphe 2 «</w:t>
      </w:r>
      <w:r>
        <w:rPr>
          <w:b/>
        </w:rPr>
        <w:t>OBJECTIFS DE LA MISSION»</w:t>
      </w:r>
    </w:p>
    <w:p w:rsidR="00F15DD7" w:rsidRDefault="00777222">
      <w:pPr>
        <w:pStyle w:val="Titre1"/>
        <w:ind w:left="-5"/>
      </w:pPr>
      <w:r>
        <w:t>2. OBJECTIFS DE LA MISSION</w:t>
      </w:r>
    </w:p>
    <w:p w:rsidR="00F15DD7" w:rsidRDefault="00777222">
      <w:pPr>
        <w:ind w:left="-5" w:right="0"/>
      </w:pPr>
      <w:r>
        <w:t>Les objectifs de la mission sont:</w:t>
      </w:r>
    </w:p>
    <w:tbl>
      <w:tblPr>
        <w:tblStyle w:val="Grilledutableau"/>
        <w:tblW w:w="7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6292"/>
      </w:tblGrid>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01</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40 Vouchers ACU ROBOT STUCTURAL ANALSIS</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02</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40 Vouchers ACU REVIT STRUCTURE</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03</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50 Vouchers ACU REVIT MEP</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04</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50 Vouchers ACU CIVIL 3D</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05</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50 Vouchers ACU INFRAWORKS</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06</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05 Vouchers ACP ROBOT STUCTURAL ANALSIS</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07</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05 Vouchers ACP REVIT STRUCTURE</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08</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05 Vouchers ACP REVIT MEP</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09</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05 Vouchers ACP CIVIL 3D</w:t>
            </w:r>
          </w:p>
        </w:tc>
      </w:tr>
      <w:tr w:rsidR="008F70F4" w:rsidRPr="008F70F4" w:rsidTr="008F70F4">
        <w:trPr>
          <w:jc w:val="center"/>
        </w:trPr>
        <w:tc>
          <w:tcPr>
            <w:tcW w:w="1418" w:type="dxa"/>
            <w:vAlign w:val="center"/>
          </w:tcPr>
          <w:p w:rsidR="008F70F4" w:rsidRPr="008F70F4" w:rsidRDefault="008F70F4" w:rsidP="00657E31">
            <w:pPr>
              <w:spacing w:after="0"/>
              <w:ind w:left="0" w:right="0" w:firstLine="0"/>
              <w:jc w:val="left"/>
            </w:pPr>
            <w:r w:rsidRPr="008F70F4">
              <w:t>Article 10</w:t>
            </w:r>
          </w:p>
        </w:tc>
        <w:tc>
          <w:tcPr>
            <w:tcW w:w="6292" w:type="dxa"/>
            <w:vAlign w:val="center"/>
          </w:tcPr>
          <w:p w:rsidR="008F70F4" w:rsidRPr="008F70F4" w:rsidRDefault="008F70F4" w:rsidP="00657E31">
            <w:pPr>
              <w:spacing w:after="0"/>
              <w:ind w:left="0" w:right="0" w:firstLine="0"/>
              <w:jc w:val="left"/>
              <w:rPr>
                <w:color w:val="auto"/>
              </w:rPr>
            </w:pPr>
            <w:r w:rsidRPr="008F70F4">
              <w:rPr>
                <w:color w:val="auto"/>
              </w:rPr>
              <w:t>Acquisition de 05 Vouchers ACP INFRAWORKS</w:t>
            </w:r>
          </w:p>
        </w:tc>
      </w:tr>
    </w:tbl>
    <w:p w:rsidR="008F70F4" w:rsidRDefault="008F70F4" w:rsidP="00657E31">
      <w:pPr>
        <w:ind w:left="0" w:right="0" w:firstLine="0"/>
      </w:pPr>
    </w:p>
    <w:p w:rsidR="00F15DD7" w:rsidRDefault="00777222" w:rsidP="00657E31">
      <w:pPr>
        <w:spacing w:after="120"/>
        <w:ind w:left="-5" w:right="0"/>
        <w:jc w:val="left"/>
      </w:pPr>
      <w:r>
        <w:rPr>
          <w:b/>
        </w:rPr>
        <w:t>3. BENEFICIAIRE DE LA MISSION</w:t>
      </w:r>
    </w:p>
    <w:p w:rsidR="00F15DD7" w:rsidRDefault="00777222" w:rsidP="00562C60">
      <w:pPr>
        <w:spacing w:after="235"/>
        <w:ind w:left="-5" w:right="0"/>
      </w:pPr>
      <w:r>
        <w:t xml:space="preserve">Des enseignants et des étudiants de </w:t>
      </w:r>
      <w:r w:rsidR="00562C60" w:rsidRPr="00562C60">
        <w:t xml:space="preserve">l’Institut Supérieur des Etudes Technologiques de </w:t>
      </w:r>
      <w:r w:rsidR="00231DE1" w:rsidRPr="00562C60">
        <w:t>Siliana.</w:t>
      </w:r>
    </w:p>
    <w:p w:rsidR="00F15DD7" w:rsidRDefault="00777222">
      <w:pPr>
        <w:pStyle w:val="Titre1"/>
        <w:ind w:left="-5"/>
      </w:pPr>
      <w:r>
        <w:t>4. TACHES A REALISER</w:t>
      </w:r>
    </w:p>
    <w:p w:rsidR="00F15DD7" w:rsidRDefault="00777222" w:rsidP="00231DE1">
      <w:pPr>
        <w:numPr>
          <w:ilvl w:val="0"/>
          <w:numId w:val="2"/>
        </w:numPr>
        <w:ind w:right="0" w:hanging="360"/>
      </w:pPr>
      <w:r>
        <w:t xml:space="preserve">La certification en </w:t>
      </w:r>
      <w:r w:rsidR="00231DE1">
        <w:t>produits AUTODESK (prédéfinis)</w:t>
      </w:r>
    </w:p>
    <w:p w:rsidR="00F15DD7" w:rsidRDefault="00777222" w:rsidP="006C1DFB">
      <w:pPr>
        <w:numPr>
          <w:ilvl w:val="0"/>
          <w:numId w:val="2"/>
        </w:numPr>
        <w:ind w:right="0" w:hanging="360"/>
      </w:pPr>
      <w:r>
        <w:t>Faire passer la certification. (Enseignants/étudiants)</w:t>
      </w:r>
    </w:p>
    <w:p w:rsidR="008F70F4" w:rsidRDefault="008F70F4">
      <w:pPr>
        <w:ind w:left="730" w:right="0"/>
      </w:pPr>
    </w:p>
    <w:p w:rsidR="00F15DD7" w:rsidRDefault="00777222">
      <w:pPr>
        <w:pStyle w:val="Titre1"/>
        <w:ind w:left="-5"/>
      </w:pPr>
      <w:r>
        <w:t>5. LIVRABLES</w:t>
      </w:r>
    </w:p>
    <w:p w:rsidR="00F15DD7" w:rsidRDefault="00777222" w:rsidP="00657E31">
      <w:pPr>
        <w:ind w:right="0"/>
      </w:pPr>
      <w:r>
        <w:t xml:space="preserve">Un rapport final d'exécution du </w:t>
      </w:r>
      <w:r w:rsidR="00562C60">
        <w:t>programme :</w:t>
      </w:r>
      <w:r>
        <w:t xml:space="preserve"> nom examens, dates des sessions, noms des</w:t>
      </w:r>
      <w:r w:rsidR="006C1DFB">
        <w:t xml:space="preserve"> </w:t>
      </w:r>
      <w:r>
        <w:t>présents, noms des certifiés, taux de réussite</w:t>
      </w:r>
    </w:p>
    <w:p w:rsidR="00F15DD7" w:rsidRDefault="00777222" w:rsidP="00FC6304">
      <w:pPr>
        <w:spacing w:after="243"/>
        <w:ind w:left="-5" w:right="0"/>
      </w:pPr>
      <w:r>
        <w:t xml:space="preserve">Les livrables, rédigés en langue française, doivent être fournis selon la forme jugée satisfaisante par </w:t>
      </w:r>
      <w:r w:rsidR="00562C60" w:rsidRPr="00562C60">
        <w:t>l’Institut Supérieur des Et</w:t>
      </w:r>
      <w:r w:rsidR="0055700A">
        <w:t>udes Technologiques de Siliana</w:t>
      </w:r>
      <w:r>
        <w:t xml:space="preserve">. Une fois validés, tous les rapports </w:t>
      </w:r>
      <w:r>
        <w:lastRenderedPageBreak/>
        <w:t xml:space="preserve">seront remis à </w:t>
      </w:r>
      <w:r w:rsidR="00562C60" w:rsidRPr="00562C60">
        <w:t xml:space="preserve">l’Institut Supérieur des Etudes Technologiques de Siliana </w:t>
      </w:r>
      <w:r>
        <w:t xml:space="preserve">en version papier, en trois (3) exemplaires, avec un envoi en parallèle par courrier électronique (sous format Word et PDF). L’envoi du rapport final de la mission à </w:t>
      </w:r>
      <w:r w:rsidR="00562C60" w:rsidRPr="00562C60">
        <w:t>l’Institut Supérieur des E</w:t>
      </w:r>
      <w:r w:rsidR="00FC6304">
        <w:t>tudes Technologiques de Siliana</w:t>
      </w:r>
      <w:r w:rsidR="006C1DFB">
        <w:t xml:space="preserve"> </w:t>
      </w:r>
      <w:r>
        <w:t>devra être effectué, dans les 15 jours qui suivent la fin de la mission.</w:t>
      </w:r>
    </w:p>
    <w:p w:rsidR="00F15DD7" w:rsidRDefault="00777222" w:rsidP="00657E31">
      <w:pPr>
        <w:pStyle w:val="Titre1"/>
        <w:ind w:left="-5"/>
      </w:pPr>
      <w:r>
        <w:t xml:space="preserve">6. </w:t>
      </w:r>
      <w:r w:rsidR="00657E31">
        <w:t>VALIDITE DES VOUCHERS</w:t>
      </w:r>
    </w:p>
    <w:p w:rsidR="00F15DD7" w:rsidRDefault="00777222" w:rsidP="00657E31">
      <w:pPr>
        <w:spacing w:after="243"/>
        <w:ind w:left="-5" w:right="0"/>
      </w:pPr>
      <w:r>
        <w:t xml:space="preserve">La </w:t>
      </w:r>
      <w:r w:rsidR="00657E31">
        <w:t xml:space="preserve">validité minimale des vouchers achetés doit être supérieure ou égale à </w:t>
      </w:r>
      <w:r w:rsidR="00657E31" w:rsidRPr="00657E31">
        <w:rPr>
          <w:b/>
          <w:bCs/>
        </w:rPr>
        <w:t>deux (02) ans</w:t>
      </w:r>
      <w:r w:rsidR="00657E31">
        <w:t xml:space="preserve"> à compter à partir de la date de réception</w:t>
      </w:r>
      <w:r>
        <w:t xml:space="preserve">. </w:t>
      </w:r>
    </w:p>
    <w:p w:rsidR="00F15DD7" w:rsidRDefault="00F411C7">
      <w:pPr>
        <w:pStyle w:val="Titre1"/>
        <w:ind w:left="-5"/>
      </w:pPr>
      <w:r>
        <w:t>7</w:t>
      </w:r>
      <w:r w:rsidR="00777222">
        <w:t xml:space="preserve">. PIECES </w:t>
      </w:r>
      <w:r w:rsidR="00777222" w:rsidRPr="00F411C7">
        <w:rPr>
          <w:color w:val="auto"/>
        </w:rPr>
        <w:t>CONSTITUTIVES DE LA MANIFESTATION D’INTÉRÊT</w:t>
      </w:r>
    </w:p>
    <w:p w:rsidR="00F15DD7" w:rsidRPr="008F05C5" w:rsidRDefault="00777222">
      <w:pPr>
        <w:numPr>
          <w:ilvl w:val="0"/>
          <w:numId w:val="4"/>
        </w:numPr>
        <w:ind w:right="0" w:hanging="360"/>
        <w:rPr>
          <w:color w:val="auto"/>
        </w:rPr>
      </w:pPr>
      <w:r w:rsidRPr="008F05C5">
        <w:rPr>
          <w:color w:val="auto"/>
        </w:rPr>
        <w:t>Références récentes et pertinentes en missions similaires</w:t>
      </w:r>
    </w:p>
    <w:p w:rsidR="00562C60" w:rsidRPr="008F05C5" w:rsidRDefault="00777222" w:rsidP="00562C60">
      <w:pPr>
        <w:numPr>
          <w:ilvl w:val="0"/>
          <w:numId w:val="4"/>
        </w:numPr>
        <w:ind w:right="0" w:hanging="360"/>
        <w:rPr>
          <w:color w:val="auto"/>
        </w:rPr>
      </w:pPr>
      <w:r w:rsidRPr="008F05C5">
        <w:rPr>
          <w:color w:val="auto"/>
        </w:rPr>
        <w:t xml:space="preserve">Qualifications en rapport avec la nature de la mission avec les pièces justificatives </w:t>
      </w:r>
    </w:p>
    <w:p w:rsidR="00F15DD7" w:rsidRPr="008F05C5" w:rsidRDefault="00777222" w:rsidP="00562C60">
      <w:pPr>
        <w:numPr>
          <w:ilvl w:val="0"/>
          <w:numId w:val="4"/>
        </w:numPr>
        <w:ind w:right="0" w:hanging="360"/>
        <w:rPr>
          <w:color w:val="auto"/>
        </w:rPr>
      </w:pPr>
      <w:r w:rsidRPr="008F05C5">
        <w:rPr>
          <w:color w:val="auto"/>
        </w:rPr>
        <w:t>Offre financière</w:t>
      </w:r>
    </w:p>
    <w:p w:rsidR="009A1F38" w:rsidRPr="008F05C5" w:rsidRDefault="009A1F38" w:rsidP="00562C60">
      <w:pPr>
        <w:numPr>
          <w:ilvl w:val="0"/>
          <w:numId w:val="4"/>
        </w:numPr>
        <w:ind w:right="0" w:hanging="360"/>
        <w:rPr>
          <w:color w:val="auto"/>
        </w:rPr>
      </w:pPr>
      <w:r w:rsidRPr="008F05C5">
        <w:rPr>
          <w:color w:val="auto"/>
        </w:rPr>
        <w:t xml:space="preserve">Terme de </w:t>
      </w:r>
      <w:r w:rsidR="008F05C5" w:rsidRPr="008F05C5">
        <w:rPr>
          <w:color w:val="auto"/>
        </w:rPr>
        <w:t>référence</w:t>
      </w:r>
      <w:r w:rsidRPr="008F05C5">
        <w:rPr>
          <w:color w:val="auto"/>
        </w:rPr>
        <w:t xml:space="preserve"> signé</w:t>
      </w:r>
      <w:r w:rsidR="00384251">
        <w:rPr>
          <w:color w:val="auto"/>
        </w:rPr>
        <w:t xml:space="preserve"> et paraphé.</w:t>
      </w:r>
    </w:p>
    <w:p w:rsidR="006C1DFB" w:rsidRDefault="006C1DFB" w:rsidP="006C1DFB">
      <w:pPr>
        <w:ind w:left="0" w:firstLine="0"/>
      </w:pPr>
    </w:p>
    <w:p w:rsidR="006C1DFB" w:rsidRDefault="00F411C7" w:rsidP="006C1DFB">
      <w:pPr>
        <w:pStyle w:val="Titre1"/>
        <w:ind w:left="0" w:firstLine="0"/>
        <w:rPr>
          <w:color w:val="auto"/>
        </w:rPr>
      </w:pPr>
      <w:r>
        <w:rPr>
          <w:rFonts w:asciiTheme="majorBidi" w:hAnsiTheme="majorBidi" w:cstheme="majorBidi"/>
          <w:color w:val="auto"/>
        </w:rPr>
        <w:t>8</w:t>
      </w:r>
      <w:r w:rsidR="006C1DFB">
        <w:rPr>
          <w:rFonts w:asciiTheme="majorBidi" w:hAnsiTheme="majorBidi" w:cstheme="majorBidi"/>
          <w:color w:val="auto"/>
        </w:rPr>
        <w:t>. PASSATION DE LA CONSULTATION</w:t>
      </w:r>
    </w:p>
    <w:p w:rsidR="006C1DFB" w:rsidRDefault="006C1DFB" w:rsidP="006C1DFB">
      <w:pPr>
        <w:tabs>
          <w:tab w:val="center" w:pos="2835"/>
        </w:tabs>
        <w:ind w:left="0"/>
        <w:jc w:val="lowKashida"/>
      </w:pPr>
      <w:r>
        <w:t xml:space="preserve">Les </w:t>
      </w:r>
      <w:r w:rsidRPr="00F411C7">
        <w:rPr>
          <w:color w:val="auto"/>
        </w:rPr>
        <w:t>manifestations d’intérêt</w:t>
      </w:r>
      <w:r>
        <w:t xml:space="preserve"> doivent parvenir sous plis fermé par voie postale recommandé ou par dépôt direct au bureau d’ordre de l’Institut Supérieur des Etudes Technologiques de Siliana, Avenue nouvelle medina - 6100 Siliana,  au plus tard le 06/05/2019.(Le cachet du Bureau d’Ordre de l’institut fera foi).</w:t>
      </w:r>
    </w:p>
    <w:p w:rsidR="00293845" w:rsidRDefault="006C1DFB" w:rsidP="00F95183">
      <w:pPr>
        <w:spacing w:after="39" w:line="225" w:lineRule="auto"/>
        <w:ind w:left="-5" w:right="0"/>
        <w:rPr>
          <w:szCs w:val="24"/>
        </w:rPr>
      </w:pPr>
      <w:r>
        <w:t>L'enveloppe extérieure doit comporter, outre l'adresse, la mention</w:t>
      </w:r>
      <w:r>
        <w:rPr>
          <w:rFonts w:asciiTheme="majorBidi" w:hAnsiTheme="majorBidi" w:cstheme="majorBidi"/>
        </w:rPr>
        <w:t xml:space="preserve"> </w:t>
      </w:r>
      <w:r>
        <w:t xml:space="preserve">: </w:t>
      </w:r>
      <w:r w:rsidR="00293845">
        <w:rPr>
          <w:b/>
          <w:bCs/>
          <w:szCs w:val="24"/>
        </w:rPr>
        <w:t>«A ne pas ouvrir: Consultation N°</w:t>
      </w:r>
      <w:r w:rsidR="00DE1BD0">
        <w:rPr>
          <w:rFonts w:asciiTheme="majorBidi" w:hAnsiTheme="majorBidi" w:cstheme="majorBidi"/>
          <w:b/>
          <w:color w:val="auto"/>
        </w:rPr>
        <w:t xml:space="preserve">PAQ 4C </w:t>
      </w:r>
      <w:r w:rsidR="00F95183">
        <w:rPr>
          <w:rFonts w:asciiTheme="majorBidi" w:hAnsiTheme="majorBidi" w:cstheme="majorBidi"/>
          <w:b/>
          <w:color w:val="auto"/>
        </w:rPr>
        <w:t>07</w:t>
      </w:r>
      <w:r w:rsidR="00DE1BD0">
        <w:rPr>
          <w:rFonts w:asciiTheme="majorBidi" w:hAnsiTheme="majorBidi" w:cstheme="majorBidi"/>
          <w:b/>
          <w:bCs/>
          <w:szCs w:val="24"/>
        </w:rPr>
        <w:t xml:space="preserve">/2019 </w:t>
      </w:r>
      <w:r w:rsidR="00293845">
        <w:rPr>
          <w:b/>
          <w:bCs/>
          <w:szCs w:val="24"/>
        </w:rPr>
        <w:t xml:space="preserve">- </w:t>
      </w:r>
      <w:r w:rsidR="00293845">
        <w:rPr>
          <w:b/>
          <w:i/>
          <w:szCs w:val="24"/>
        </w:rPr>
        <w:t>ACQUISITION DE VOUCHERS D’EXAMEN AUTODESK</w:t>
      </w:r>
      <w:r w:rsidR="00293845">
        <w:rPr>
          <w:b/>
          <w:szCs w:val="24"/>
        </w:rPr>
        <w:t xml:space="preserve"> (langue française)</w:t>
      </w:r>
      <w:r w:rsidR="00293845">
        <w:rPr>
          <w:b/>
          <w:bCs/>
          <w:szCs w:val="24"/>
        </w:rPr>
        <w:t xml:space="preserve"> »</w:t>
      </w:r>
    </w:p>
    <w:p w:rsidR="006C1DFB" w:rsidRDefault="006C1DFB" w:rsidP="006C1DFB">
      <w:pPr>
        <w:ind w:left="0"/>
        <w:jc w:val="lowKashida"/>
      </w:pPr>
      <w:r>
        <w:t>Une fois la remise de son pli faite, le soumissionnaire ne peut ni le retirer, ni le modifier, ni le corriger sous aucun prétexte.</w:t>
      </w:r>
    </w:p>
    <w:p w:rsidR="00657E31" w:rsidRDefault="00657E31">
      <w:pPr>
        <w:pStyle w:val="Titre1"/>
        <w:ind w:left="-5"/>
      </w:pPr>
    </w:p>
    <w:p w:rsidR="00F15DD7" w:rsidRDefault="00F411C7">
      <w:pPr>
        <w:pStyle w:val="Titre1"/>
        <w:ind w:left="-5"/>
      </w:pPr>
      <w:r>
        <w:t>9</w:t>
      </w:r>
      <w:r w:rsidR="00777222">
        <w:t>. CONFLITS D’INTERET</w:t>
      </w:r>
    </w:p>
    <w:p w:rsidR="00F15DD7" w:rsidRDefault="00657E31" w:rsidP="00657E31">
      <w:pPr>
        <w:spacing w:after="243"/>
        <w:ind w:left="-5" w:right="0"/>
      </w:pPr>
      <w:r>
        <w:t>Les entreprises</w:t>
      </w:r>
      <w:r w:rsidR="00777222">
        <w:t xml:space="preserve"> en conflits d’intérêt, c'est-à-dire qui auraient un intérêt quelconque direct ou indirect au projet ou qui sont en relation personnelle ou professionnelle avec la Banque Mondiale ou le MESRS, doivent déclarer leurs conflits d’intérêt au moment de la </w:t>
      </w:r>
      <w:r>
        <w:t>participation</w:t>
      </w:r>
      <w:r w:rsidR="00777222">
        <w:t xml:space="preserve">. </w:t>
      </w:r>
    </w:p>
    <w:p w:rsidR="00F15DD7" w:rsidRDefault="00777222" w:rsidP="00F411C7">
      <w:pPr>
        <w:pStyle w:val="Titre1"/>
        <w:ind w:left="-5"/>
      </w:pPr>
      <w:r>
        <w:t>1</w:t>
      </w:r>
      <w:r w:rsidR="00F411C7">
        <w:t>0</w:t>
      </w:r>
      <w:r>
        <w:t>. CONFIDENTIALITE</w:t>
      </w:r>
    </w:p>
    <w:p w:rsidR="002E3B3C" w:rsidRDefault="00657E31" w:rsidP="006C1DFB">
      <w:pPr>
        <w:ind w:left="-5" w:right="0"/>
      </w:pPr>
      <w:r>
        <w:t xml:space="preserve">L’entreprise </w:t>
      </w:r>
      <w:r w:rsidR="00777222">
        <w:t>retenu</w:t>
      </w:r>
      <w:r>
        <w:t>e</w:t>
      </w:r>
      <w:r w:rsidR="00777222">
        <w:t xml:space="preserve">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w:t>
      </w:r>
      <w:bookmarkStart w:id="0" w:name="_GoBack"/>
      <w:bookmarkEnd w:id="0"/>
      <w:r w:rsidR="00777222">
        <w:t>.</w:t>
      </w:r>
    </w:p>
    <w:p w:rsidR="005E0534" w:rsidRDefault="005E0534" w:rsidP="006C1DFB">
      <w:pPr>
        <w:ind w:left="-5" w:right="0"/>
      </w:pPr>
    </w:p>
    <w:tbl>
      <w:tblPr>
        <w:tblW w:w="9795" w:type="dxa"/>
        <w:jc w:val="center"/>
        <w:tblLayout w:type="fixed"/>
        <w:tblCellMar>
          <w:left w:w="70" w:type="dxa"/>
          <w:right w:w="70" w:type="dxa"/>
        </w:tblCellMar>
        <w:tblLook w:val="04A0"/>
      </w:tblPr>
      <w:tblGrid>
        <w:gridCol w:w="4571"/>
        <w:gridCol w:w="653"/>
        <w:gridCol w:w="4571"/>
      </w:tblGrid>
      <w:tr w:rsidR="002E3B3C" w:rsidTr="002E3B3C">
        <w:trPr>
          <w:trHeight w:val="2122"/>
          <w:jc w:val="center"/>
        </w:trPr>
        <w:tc>
          <w:tcPr>
            <w:tcW w:w="4571" w:type="dxa"/>
          </w:tcPr>
          <w:p w:rsidR="002E3B3C" w:rsidRDefault="002E3B3C">
            <w:pPr>
              <w:jc w:val="center"/>
              <w:rPr>
                <w:rFonts w:asciiTheme="majorBidi" w:hAnsiTheme="majorBidi" w:cstheme="majorBidi"/>
                <w:b/>
                <w:bCs/>
                <w:i/>
                <w:iCs/>
                <w:caps/>
                <w:szCs w:val="24"/>
              </w:rPr>
            </w:pPr>
            <w:r>
              <w:rPr>
                <w:rFonts w:asciiTheme="majorBidi" w:hAnsiTheme="majorBidi" w:cstheme="majorBidi"/>
                <w:b/>
                <w:bCs/>
                <w:i/>
                <w:iCs/>
                <w:caps/>
                <w:szCs w:val="24"/>
              </w:rPr>
              <w:t xml:space="preserve">DRESSE PAR </w:t>
            </w:r>
            <w:r>
              <w:rPr>
                <w:rFonts w:asciiTheme="majorBidi" w:hAnsiTheme="majorBidi" w:cstheme="majorBidi"/>
                <w:b/>
                <w:bCs/>
                <w:i/>
                <w:iCs/>
                <w:caps/>
                <w:color w:val="auto"/>
                <w:szCs w:val="24"/>
              </w:rPr>
              <w:t>LA Direction DE L’institut superieur des etudes technologiques de SILIANA</w:t>
            </w:r>
            <w:r>
              <w:rPr>
                <w:rFonts w:asciiTheme="majorBidi" w:hAnsiTheme="majorBidi" w:cstheme="majorBidi"/>
                <w:b/>
                <w:bCs/>
                <w:i/>
                <w:iCs/>
                <w:caps/>
                <w:color w:val="FF0000"/>
                <w:szCs w:val="24"/>
              </w:rPr>
              <w:t xml:space="preserve"> </w:t>
            </w:r>
            <w:r>
              <w:rPr>
                <w:rFonts w:asciiTheme="majorBidi" w:hAnsiTheme="majorBidi" w:cstheme="majorBidi"/>
                <w:b/>
                <w:bCs/>
                <w:i/>
                <w:iCs/>
                <w:caps/>
                <w:szCs w:val="24"/>
              </w:rPr>
              <w:t xml:space="preserve">  </w:t>
            </w:r>
          </w:p>
          <w:p w:rsidR="002E3B3C" w:rsidRDefault="002E3B3C">
            <w:pPr>
              <w:jc w:val="center"/>
              <w:rPr>
                <w:rFonts w:asciiTheme="majorBidi" w:hAnsiTheme="majorBidi" w:cstheme="majorBidi"/>
                <w:b/>
                <w:bCs/>
                <w:i/>
                <w:iCs/>
                <w:caps/>
                <w:szCs w:val="24"/>
              </w:rPr>
            </w:pPr>
          </w:p>
          <w:p w:rsidR="002E3B3C" w:rsidRDefault="002E3B3C">
            <w:pPr>
              <w:spacing w:after="3" w:line="254" w:lineRule="auto"/>
              <w:jc w:val="center"/>
              <w:rPr>
                <w:rFonts w:asciiTheme="majorBidi" w:hAnsiTheme="majorBidi" w:cstheme="majorBidi"/>
                <w:b/>
                <w:bCs/>
                <w:i/>
                <w:iCs/>
                <w:caps/>
                <w:szCs w:val="24"/>
              </w:rPr>
            </w:pPr>
            <w:r>
              <w:rPr>
                <w:rFonts w:asciiTheme="majorBidi" w:hAnsiTheme="majorBidi" w:cstheme="majorBidi"/>
                <w:b/>
                <w:bCs/>
                <w:i/>
                <w:iCs/>
                <w:caps/>
                <w:szCs w:val="24"/>
              </w:rPr>
              <w:t>siliana LE, ..........................</w:t>
            </w:r>
          </w:p>
        </w:tc>
        <w:tc>
          <w:tcPr>
            <w:tcW w:w="653" w:type="dxa"/>
          </w:tcPr>
          <w:p w:rsidR="002E3B3C" w:rsidRDefault="002E3B3C">
            <w:pPr>
              <w:spacing w:after="3" w:line="254" w:lineRule="auto"/>
              <w:rPr>
                <w:rFonts w:asciiTheme="majorBidi" w:hAnsiTheme="majorBidi" w:cstheme="majorBidi"/>
                <w:b/>
                <w:bCs/>
                <w:szCs w:val="24"/>
              </w:rPr>
            </w:pPr>
          </w:p>
        </w:tc>
        <w:tc>
          <w:tcPr>
            <w:tcW w:w="4571" w:type="dxa"/>
          </w:tcPr>
          <w:p w:rsidR="002E3B3C" w:rsidRDefault="002E3B3C">
            <w:pPr>
              <w:jc w:val="center"/>
              <w:rPr>
                <w:rFonts w:asciiTheme="majorBidi" w:hAnsiTheme="majorBidi" w:cstheme="majorBidi"/>
                <w:b/>
                <w:bCs/>
                <w:i/>
                <w:iCs/>
                <w:caps/>
                <w:szCs w:val="24"/>
              </w:rPr>
            </w:pPr>
            <w:r>
              <w:rPr>
                <w:rFonts w:asciiTheme="majorBidi" w:hAnsiTheme="majorBidi" w:cstheme="majorBidi"/>
                <w:b/>
                <w:bCs/>
                <w:i/>
                <w:iCs/>
                <w:caps/>
                <w:szCs w:val="24"/>
              </w:rPr>
              <w:t xml:space="preserve">LU ET ACCEPTE PAR </w:t>
            </w:r>
          </w:p>
          <w:p w:rsidR="002E3B3C" w:rsidRDefault="002E3B3C">
            <w:pPr>
              <w:jc w:val="center"/>
              <w:rPr>
                <w:rFonts w:asciiTheme="majorBidi" w:hAnsiTheme="majorBidi" w:cstheme="majorBidi"/>
                <w:b/>
                <w:bCs/>
                <w:i/>
                <w:iCs/>
                <w:caps/>
                <w:szCs w:val="24"/>
              </w:rPr>
            </w:pPr>
            <w:r>
              <w:rPr>
                <w:rFonts w:asciiTheme="majorBidi" w:hAnsiTheme="majorBidi" w:cstheme="majorBidi"/>
                <w:b/>
                <w:bCs/>
                <w:i/>
                <w:iCs/>
                <w:caps/>
                <w:szCs w:val="24"/>
              </w:rPr>
              <w:t>LE SOUMISSIONNAIRE</w:t>
            </w:r>
          </w:p>
          <w:p w:rsidR="002E3B3C" w:rsidRDefault="002E3B3C">
            <w:pPr>
              <w:jc w:val="center"/>
              <w:rPr>
                <w:rFonts w:asciiTheme="majorBidi" w:hAnsiTheme="majorBidi" w:cstheme="majorBidi"/>
                <w:b/>
                <w:bCs/>
                <w:i/>
                <w:iCs/>
                <w:caps/>
                <w:szCs w:val="24"/>
              </w:rPr>
            </w:pPr>
          </w:p>
          <w:p w:rsidR="002E3B3C" w:rsidRDefault="002E3B3C">
            <w:pPr>
              <w:jc w:val="center"/>
              <w:rPr>
                <w:rFonts w:asciiTheme="majorBidi" w:hAnsiTheme="majorBidi" w:cstheme="majorBidi"/>
                <w:b/>
                <w:bCs/>
                <w:i/>
                <w:iCs/>
                <w:caps/>
                <w:szCs w:val="24"/>
              </w:rPr>
            </w:pPr>
          </w:p>
          <w:p w:rsidR="002E3B3C" w:rsidRDefault="002E3B3C">
            <w:pPr>
              <w:jc w:val="center"/>
              <w:rPr>
                <w:rFonts w:asciiTheme="majorBidi" w:hAnsiTheme="majorBidi" w:cstheme="majorBidi"/>
                <w:b/>
                <w:bCs/>
                <w:i/>
                <w:iCs/>
                <w:caps/>
                <w:szCs w:val="24"/>
              </w:rPr>
            </w:pPr>
            <w:r>
              <w:rPr>
                <w:rFonts w:asciiTheme="majorBidi" w:hAnsiTheme="majorBidi" w:cstheme="majorBidi"/>
                <w:b/>
                <w:bCs/>
                <w:i/>
                <w:iCs/>
                <w:caps/>
                <w:szCs w:val="24"/>
              </w:rPr>
              <w:t>Siliana LE,..............................</w:t>
            </w:r>
          </w:p>
          <w:p w:rsidR="002E3B3C" w:rsidRDefault="002E3B3C">
            <w:pPr>
              <w:spacing w:after="3" w:line="254" w:lineRule="auto"/>
              <w:jc w:val="center"/>
              <w:rPr>
                <w:rFonts w:asciiTheme="majorBidi" w:hAnsiTheme="majorBidi" w:cstheme="majorBidi"/>
                <w:b/>
                <w:bCs/>
                <w:i/>
                <w:iCs/>
                <w:caps/>
                <w:szCs w:val="24"/>
              </w:rPr>
            </w:pPr>
          </w:p>
        </w:tc>
      </w:tr>
    </w:tbl>
    <w:p w:rsidR="002E3B3C" w:rsidRDefault="002E3B3C" w:rsidP="002C2231">
      <w:pPr>
        <w:ind w:left="0" w:right="0" w:firstLine="0"/>
      </w:pPr>
    </w:p>
    <w:sectPr w:rsidR="002E3B3C" w:rsidSect="002C2231">
      <w:footerReference w:type="even" r:id="rId9"/>
      <w:footerReference w:type="default" r:id="rId10"/>
      <w:footerReference w:type="first" r:id="rId11"/>
      <w:pgSz w:w="11900" w:h="16840"/>
      <w:pgMar w:top="993" w:right="1134" w:bottom="1134"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19D" w:rsidRDefault="0049319D">
      <w:pPr>
        <w:spacing w:after="0" w:line="240" w:lineRule="auto"/>
      </w:pPr>
      <w:r>
        <w:separator/>
      </w:r>
    </w:p>
  </w:endnote>
  <w:endnote w:type="continuationSeparator" w:id="1">
    <w:p w:rsidR="0049319D" w:rsidRDefault="00493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ED7744">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ED7744">
    <w:pPr>
      <w:spacing w:after="0"/>
      <w:ind w:left="9" w:right="0" w:firstLine="0"/>
      <w:jc w:val="center"/>
    </w:pPr>
    <w:r>
      <w:fldChar w:fldCharType="begin"/>
    </w:r>
    <w:r w:rsidR="00777222">
      <w:instrText xml:space="preserve"> PAGE   \* MERGEFORMAT </w:instrText>
    </w:r>
    <w:r>
      <w:fldChar w:fldCharType="separate"/>
    </w:r>
    <w:r w:rsidR="002C2231">
      <w:rPr>
        <w:noProof/>
      </w:rPr>
      <w:t>1</w:t>
    </w:r>
    <w:r>
      <w:fldChar w:fldCharType="end"/>
    </w:r>
    <w:r w:rsidR="00777222">
      <w:t>/</w:t>
    </w:r>
    <w:fldSimple w:instr=" NUMPAGES   \* MERGEFORMAT ">
      <w:r w:rsidR="002C223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D7" w:rsidRDefault="00ED7744">
    <w:pPr>
      <w:spacing w:after="0"/>
      <w:ind w:left="9" w:right="0" w:firstLine="0"/>
      <w:jc w:val="center"/>
    </w:pPr>
    <w:r>
      <w:fldChar w:fldCharType="begin"/>
    </w:r>
    <w:r w:rsidR="00777222">
      <w:instrText xml:space="preserve"> PAGE   \* MERGEFORMAT </w:instrText>
    </w:r>
    <w:r>
      <w:fldChar w:fldCharType="separate"/>
    </w:r>
    <w:r w:rsidR="00777222">
      <w:t>1</w:t>
    </w:r>
    <w:r>
      <w:fldChar w:fldCharType="end"/>
    </w:r>
    <w:r w:rsidR="00777222">
      <w:t>/</w:t>
    </w:r>
    <w:fldSimple w:instr=" NUMPAGES   \* MERGEFORMAT ">
      <w:r w:rsidR="00777222">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19D" w:rsidRDefault="0049319D">
      <w:pPr>
        <w:spacing w:after="0" w:line="240" w:lineRule="auto"/>
      </w:pPr>
      <w:r>
        <w:separator/>
      </w:r>
    </w:p>
  </w:footnote>
  <w:footnote w:type="continuationSeparator" w:id="1">
    <w:p w:rsidR="0049319D" w:rsidRDefault="00493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CDE"/>
    <w:multiLevelType w:val="hybridMultilevel"/>
    <w:tmpl w:val="D41E3306"/>
    <w:lvl w:ilvl="0" w:tplc="BED22B1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F8987C5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66D2F85C">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A044CD82">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8496F70A">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3DAAD5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8E0035DA">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F76C9C4">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219A8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nsid w:val="0B1A15CB"/>
    <w:multiLevelType w:val="hybridMultilevel"/>
    <w:tmpl w:val="92E86D46"/>
    <w:lvl w:ilvl="0" w:tplc="959CF1C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3864400">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3C9226E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414D77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26C14A0">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A86CCD0E">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2500EAA2">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6BC7770">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8646B448">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2">
    <w:nsid w:val="174A1B83"/>
    <w:multiLevelType w:val="hybridMultilevel"/>
    <w:tmpl w:val="595EF49C"/>
    <w:lvl w:ilvl="0" w:tplc="8ACE627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822708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4AEA8754">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0B02916A">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3BC0987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537C2DAA">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3B020CDC">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D41CCC58">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057EEFE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3">
    <w:nsid w:val="62593E3E"/>
    <w:multiLevelType w:val="hybridMultilevel"/>
    <w:tmpl w:val="41A8570A"/>
    <w:lvl w:ilvl="0" w:tplc="83A6DD02">
      <w:start w:val="1"/>
      <w:numFmt w:val="decimal"/>
      <w:lvlText w:val="%1)"/>
      <w:lvlJc w:val="left"/>
      <w:pPr>
        <w:ind w:left="308"/>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1" w:tplc="3D6816E6">
      <w:start w:val="1"/>
      <w:numFmt w:val="lowerLetter"/>
      <w:lvlText w:val="%2"/>
      <w:lvlJc w:val="left"/>
      <w:pPr>
        <w:ind w:left="10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4D00D9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D004D4F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014E4ABA">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0F4E7E12">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0F2974E">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FD52BFE6">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92C6611C">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4">
    <w:nsid w:val="70941DB0"/>
    <w:multiLevelType w:val="hybridMultilevel"/>
    <w:tmpl w:val="54C0C068"/>
    <w:lvl w:ilvl="0" w:tplc="EFF6603A">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1D62B49E">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C882C500">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4050A0B4">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B100BA26">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EB34D8E6">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9968B7A6">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CFE6449E">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D13C6A14">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15DD7"/>
    <w:rsid w:val="00042126"/>
    <w:rsid w:val="00046F68"/>
    <w:rsid w:val="000556DF"/>
    <w:rsid w:val="00084722"/>
    <w:rsid w:val="00112539"/>
    <w:rsid w:val="001671A5"/>
    <w:rsid w:val="001D0913"/>
    <w:rsid w:val="002170DC"/>
    <w:rsid w:val="00231DE1"/>
    <w:rsid w:val="00293845"/>
    <w:rsid w:val="002C2231"/>
    <w:rsid w:val="002C65DD"/>
    <w:rsid w:val="002E3B3C"/>
    <w:rsid w:val="003160AA"/>
    <w:rsid w:val="00384251"/>
    <w:rsid w:val="003B560A"/>
    <w:rsid w:val="003E49D9"/>
    <w:rsid w:val="0045209E"/>
    <w:rsid w:val="004825EC"/>
    <w:rsid w:val="0048321D"/>
    <w:rsid w:val="0049319D"/>
    <w:rsid w:val="004B3D14"/>
    <w:rsid w:val="004D7D8F"/>
    <w:rsid w:val="00550CE8"/>
    <w:rsid w:val="0055700A"/>
    <w:rsid w:val="00562C60"/>
    <w:rsid w:val="005C4920"/>
    <w:rsid w:val="005D7268"/>
    <w:rsid w:val="005E0534"/>
    <w:rsid w:val="00642C1E"/>
    <w:rsid w:val="00654706"/>
    <w:rsid w:val="00657E31"/>
    <w:rsid w:val="006C1DFB"/>
    <w:rsid w:val="006E7CE2"/>
    <w:rsid w:val="00777222"/>
    <w:rsid w:val="007C0A8C"/>
    <w:rsid w:val="007C3B64"/>
    <w:rsid w:val="0087785B"/>
    <w:rsid w:val="008B3C16"/>
    <w:rsid w:val="008F05C5"/>
    <w:rsid w:val="008F70F4"/>
    <w:rsid w:val="00902B7A"/>
    <w:rsid w:val="009A1F38"/>
    <w:rsid w:val="009F2C5E"/>
    <w:rsid w:val="00A05FAF"/>
    <w:rsid w:val="00A579AA"/>
    <w:rsid w:val="00AF3ACB"/>
    <w:rsid w:val="00B561B3"/>
    <w:rsid w:val="00BA73EA"/>
    <w:rsid w:val="00BD1DE8"/>
    <w:rsid w:val="00C557ED"/>
    <w:rsid w:val="00D11F90"/>
    <w:rsid w:val="00DD32AB"/>
    <w:rsid w:val="00DE1BD0"/>
    <w:rsid w:val="00E0590B"/>
    <w:rsid w:val="00E56D22"/>
    <w:rsid w:val="00E7443E"/>
    <w:rsid w:val="00EA027E"/>
    <w:rsid w:val="00EC3DF0"/>
    <w:rsid w:val="00ED7744"/>
    <w:rsid w:val="00F15DD7"/>
    <w:rsid w:val="00F411C7"/>
    <w:rsid w:val="00F95183"/>
    <w:rsid w:val="00FC630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E8"/>
    <w:pPr>
      <w:spacing w:after="4"/>
      <w:ind w:left="10" w:right="5" w:hanging="10"/>
      <w:jc w:val="both"/>
    </w:pPr>
    <w:rPr>
      <w:rFonts w:ascii="Calibri" w:eastAsia="Calibri" w:hAnsi="Calibri" w:cs="Calibri"/>
      <w:color w:val="00000A"/>
      <w:sz w:val="24"/>
    </w:rPr>
  </w:style>
  <w:style w:type="paragraph" w:styleId="Titre1">
    <w:name w:val="heading 1"/>
    <w:next w:val="Normal"/>
    <w:link w:val="Titre1Car"/>
    <w:uiPriority w:val="9"/>
    <w:unhideWhenUsed/>
    <w:qFormat/>
    <w:rsid w:val="00550CE8"/>
    <w:pPr>
      <w:keepNext/>
      <w:keepLines/>
      <w:spacing w:after="1"/>
      <w:ind w:left="10" w:hanging="10"/>
      <w:outlineLvl w:val="0"/>
    </w:pPr>
    <w:rPr>
      <w:rFonts w:ascii="Calibri" w:eastAsia="Calibri" w:hAnsi="Calibri" w:cs="Calibri"/>
      <w:b/>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50CE8"/>
    <w:rPr>
      <w:rFonts w:ascii="Calibri" w:eastAsia="Calibri" w:hAnsi="Calibri" w:cs="Calibri"/>
      <w:b/>
      <w:color w:val="00000A"/>
      <w:sz w:val="24"/>
    </w:rPr>
  </w:style>
  <w:style w:type="table" w:styleId="Grilledutableau">
    <w:name w:val="Table Grid"/>
    <w:basedOn w:val="TableauNormal"/>
    <w:uiPriority w:val="39"/>
    <w:rsid w:val="00654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4-Accentuation31">
    <w:name w:val="Tableau Grille 4 - Accentuation 31"/>
    <w:basedOn w:val="TableauNormal"/>
    <w:uiPriority w:val="49"/>
    <w:rsid w:val="00562C60"/>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231D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1DE1"/>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158274643">
      <w:bodyDiv w:val="1"/>
      <w:marLeft w:val="0"/>
      <w:marRight w:val="0"/>
      <w:marTop w:val="0"/>
      <w:marBottom w:val="0"/>
      <w:divBdr>
        <w:top w:val="none" w:sz="0" w:space="0" w:color="auto"/>
        <w:left w:val="none" w:sz="0" w:space="0" w:color="auto"/>
        <w:bottom w:val="none" w:sz="0" w:space="0" w:color="auto"/>
        <w:right w:val="none" w:sz="0" w:space="0" w:color="auto"/>
      </w:divBdr>
    </w:div>
    <w:div w:id="340200390">
      <w:bodyDiv w:val="1"/>
      <w:marLeft w:val="0"/>
      <w:marRight w:val="0"/>
      <w:marTop w:val="0"/>
      <w:marBottom w:val="0"/>
      <w:divBdr>
        <w:top w:val="none" w:sz="0" w:space="0" w:color="auto"/>
        <w:left w:val="none" w:sz="0" w:space="0" w:color="auto"/>
        <w:bottom w:val="none" w:sz="0" w:space="0" w:color="auto"/>
        <w:right w:val="none" w:sz="0" w:space="0" w:color="auto"/>
      </w:divBdr>
    </w:div>
    <w:div w:id="213898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679</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finance</cp:lastModifiedBy>
  <cp:revision>27</cp:revision>
  <dcterms:created xsi:type="dcterms:W3CDTF">2019-03-26T08:29:00Z</dcterms:created>
  <dcterms:modified xsi:type="dcterms:W3CDTF">2019-04-30T14:03:00Z</dcterms:modified>
</cp:coreProperties>
</file>